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3AD1EEC4" w:rsidR="00774195" w:rsidRPr="00987B0C" w:rsidRDefault="007E5525" w:rsidP="008B60DA">
      <w:pPr>
        <w:pStyle w:val="Zkladntext21"/>
        <w:keepNext/>
        <w:keepLines/>
        <w:tabs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>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C23410">
        <w:rPr>
          <w:rFonts w:ascii="Abadi" w:hAnsi="Abadi"/>
          <w:b/>
          <w:bCs/>
          <w:lang w:val="sk-SK"/>
        </w:rPr>
        <w:t xml:space="preserve">Alma, </w:t>
      </w:r>
      <w:r w:rsidR="008B60DA">
        <w:rPr>
          <w:rFonts w:ascii="Abadi" w:hAnsi="Abadi"/>
          <w:b/>
          <w:bCs/>
          <w:lang w:val="sk-SK"/>
        </w:rPr>
        <w:t>s.r.o.</w:t>
      </w:r>
    </w:p>
    <w:p w14:paraId="378E8F2E" w14:textId="74E17B7C" w:rsidR="00D5581B" w:rsidRPr="00987B0C" w:rsidRDefault="00D5581B" w:rsidP="008B60DA">
      <w:pPr>
        <w:keepNext/>
        <w:keepLines/>
        <w:tabs>
          <w:tab w:val="left" w:pos="-4536"/>
          <w:tab w:val="left" w:pos="-3119"/>
          <w:tab w:val="left" w:pos="2552"/>
        </w:tabs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C25991">
        <w:rPr>
          <w:rFonts w:ascii="Abadi" w:hAnsi="Abadi"/>
          <w:sz w:val="24"/>
          <w:szCs w:val="24"/>
          <w:lang w:val="sk-SK"/>
        </w:rPr>
        <w:t xml:space="preserve">Pri </w:t>
      </w:r>
      <w:proofErr w:type="spellStart"/>
      <w:r w:rsidR="00C25991">
        <w:rPr>
          <w:rFonts w:ascii="Abadi" w:hAnsi="Abadi"/>
          <w:sz w:val="24"/>
          <w:szCs w:val="24"/>
          <w:lang w:val="sk-SK"/>
        </w:rPr>
        <w:t>podlužianke</w:t>
      </w:r>
      <w:proofErr w:type="spellEnd"/>
      <w:r w:rsidR="00C25991">
        <w:rPr>
          <w:rFonts w:ascii="Abadi" w:hAnsi="Abadi"/>
          <w:sz w:val="24"/>
          <w:szCs w:val="24"/>
          <w:lang w:val="sk-SK"/>
        </w:rPr>
        <w:t xml:space="preserve"> 9</w:t>
      </w:r>
      <w:r w:rsidR="008B60DA">
        <w:rPr>
          <w:rFonts w:ascii="Abadi" w:hAnsi="Abadi"/>
          <w:sz w:val="24"/>
          <w:szCs w:val="24"/>
          <w:lang w:val="sk-SK"/>
        </w:rPr>
        <w:t>, 934 01 Levice</w:t>
      </w:r>
    </w:p>
    <w:p w14:paraId="59EAEBCC" w14:textId="1B79FDEB" w:rsidR="00BB7D99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C25991">
        <w:rPr>
          <w:rFonts w:ascii="Abadi" w:hAnsi="Abadi"/>
          <w:lang w:val="sk-SK"/>
        </w:rPr>
        <w:t xml:space="preserve">Bc. </w:t>
      </w:r>
      <w:proofErr w:type="spellStart"/>
      <w:r w:rsidR="00C25991">
        <w:rPr>
          <w:rFonts w:ascii="Abadi" w:hAnsi="Abadi"/>
          <w:lang w:val="sk-SK"/>
        </w:rPr>
        <w:t>Allan</w:t>
      </w:r>
      <w:proofErr w:type="spellEnd"/>
      <w:r w:rsidR="00C25991">
        <w:rPr>
          <w:rFonts w:ascii="Abadi" w:hAnsi="Abadi"/>
          <w:lang w:val="sk-SK"/>
        </w:rPr>
        <w:t xml:space="preserve"> </w:t>
      </w:r>
      <w:proofErr w:type="spellStart"/>
      <w:r w:rsidR="00C25991">
        <w:rPr>
          <w:rFonts w:ascii="Abadi" w:hAnsi="Abadi"/>
          <w:lang w:val="sk-SK"/>
        </w:rPr>
        <w:t>Sághy</w:t>
      </w:r>
      <w:proofErr w:type="spellEnd"/>
      <w:r w:rsidR="008B60DA">
        <w:rPr>
          <w:rFonts w:ascii="Abadi" w:hAnsi="Abadi"/>
          <w:lang w:val="sk-SK"/>
        </w:rPr>
        <w:t>, konateľ spoločnosti</w:t>
      </w:r>
    </w:p>
    <w:p w14:paraId="11F6E976" w14:textId="7BA58D97" w:rsidR="008B60DA" w:rsidRPr="00987B0C" w:rsidRDefault="008B60DA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>
        <w:rPr>
          <w:rFonts w:ascii="Abadi" w:hAnsi="Abadi"/>
          <w:lang w:val="sk-SK"/>
        </w:rPr>
        <w:tab/>
      </w:r>
      <w:r>
        <w:rPr>
          <w:rFonts w:ascii="Abadi" w:hAnsi="Abadi"/>
          <w:lang w:val="sk-SK"/>
        </w:rPr>
        <w:tab/>
      </w:r>
      <w:r>
        <w:rPr>
          <w:rFonts w:ascii="Abadi" w:hAnsi="Abadi"/>
          <w:lang w:val="sk-SK"/>
        </w:rPr>
        <w:tab/>
      </w:r>
      <w:r>
        <w:rPr>
          <w:rFonts w:ascii="Abadi" w:hAnsi="Abadi"/>
          <w:lang w:val="sk-SK"/>
        </w:rPr>
        <w:tab/>
      </w:r>
      <w:r>
        <w:rPr>
          <w:rFonts w:ascii="Abadi" w:hAnsi="Abadi"/>
          <w:lang w:val="sk-SK"/>
        </w:rPr>
        <w:tab/>
      </w:r>
      <w:r w:rsidR="00C25991">
        <w:rPr>
          <w:rFonts w:ascii="Abadi" w:hAnsi="Abadi"/>
          <w:lang w:val="sk-SK"/>
        </w:rPr>
        <w:t>Ing. Ivan Moravský</w:t>
      </w:r>
      <w:r>
        <w:rPr>
          <w:rFonts w:ascii="Abadi" w:hAnsi="Abadi"/>
          <w:lang w:val="sk-SK"/>
        </w:rPr>
        <w:t>, konateľ spoločnosti</w:t>
      </w:r>
    </w:p>
    <w:p w14:paraId="68298241" w14:textId="51C9E0AF" w:rsidR="00774195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IČO: 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  <w:t>53</w:t>
      </w:r>
      <w:r w:rsidR="00C25991">
        <w:rPr>
          <w:rFonts w:ascii="Abadi" w:hAnsi="Abadi"/>
          <w:lang w:val="sk-SK"/>
        </w:rPr>
        <w:t> 190 025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BDBE8F5" w14:textId="319F90DF" w:rsidR="00D5581B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  <w:t>2121</w:t>
      </w:r>
      <w:r w:rsidR="00C25991">
        <w:rPr>
          <w:rFonts w:ascii="Abadi" w:hAnsi="Abadi"/>
          <w:lang w:val="sk-SK"/>
        </w:rPr>
        <w:t>297530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6E84E68D" w14:textId="26B76ABB" w:rsidR="00D5581B" w:rsidRPr="00987B0C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 w:rsidRPr="008B60DA">
        <w:rPr>
          <w:rFonts w:ascii="Abadi" w:hAnsi="Abadi"/>
          <w:highlight w:val="yellow"/>
          <w:lang w:val="sk-SK"/>
        </w:rPr>
        <w:t>...........</w:t>
      </w:r>
      <w:r w:rsidR="00E41E95" w:rsidRPr="00987B0C">
        <w:rPr>
          <w:rFonts w:ascii="Abadi" w:hAnsi="Abadi"/>
          <w:lang w:val="sk-SK"/>
        </w:rPr>
        <w:t xml:space="preserve">    </w:t>
      </w:r>
    </w:p>
    <w:p w14:paraId="05BDB847" w14:textId="308D9851" w:rsidR="00D5581B" w:rsidRPr="008B60DA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5A5340A7" w14:textId="3C1AD859" w:rsidR="00D5581B" w:rsidRPr="00987B0C" w:rsidRDefault="00D5581B" w:rsidP="008B60DA">
      <w:p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13FB2DFB" w:rsidR="00D5581B" w:rsidRPr="00987B0C" w:rsidRDefault="00D5581B" w:rsidP="008B60DA">
      <w:pPr>
        <w:pStyle w:val="Zkladntext21"/>
        <w:keepNext/>
        <w:keepLines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>Zhotoviteľ</w:t>
      </w:r>
      <w:r w:rsidRPr="00987B0C">
        <w:rPr>
          <w:rFonts w:ascii="Abadi" w:hAnsi="Abadi"/>
          <w:b/>
          <w:bCs/>
          <w:lang w:val="sk-SK"/>
        </w:rPr>
        <w:t xml:space="preserve">:    </w:t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271B914F" w:rsidR="00D5581B" w:rsidRPr="00987B0C" w:rsidRDefault="00D5581B" w:rsidP="008B60DA">
      <w:pPr>
        <w:keepNext/>
        <w:keepLines/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5AF1088B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13B61BD9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7BA9D470" w14:textId="39F66B93" w:rsidR="00704ED5" w:rsidRPr="00987B0C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Style w:val="ra"/>
          <w:rFonts w:ascii="Abadi" w:hAnsi="Abadi"/>
        </w:rPr>
        <w:t xml:space="preserve">DIČ: </w:t>
      </w:r>
      <w:r w:rsidRPr="00987B0C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</w:p>
    <w:p w14:paraId="4A6AF7EA" w14:textId="4477D413" w:rsidR="00D5581B" w:rsidRPr="00987B0C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5330B66" w14:textId="093A4C1C" w:rsidR="00D5581B" w:rsidRPr="00987B0C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72493932" w14:textId="06638C07" w:rsidR="00D5581B" w:rsidRPr="00987B0C" w:rsidRDefault="00D5581B" w:rsidP="008B60DA">
      <w:pPr>
        <w:keepNext/>
        <w:keepLines/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5ED60797" w:rsidR="00D5581B" w:rsidRPr="00987B0C" w:rsidRDefault="00D5581B" w:rsidP="00B4519D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987B0C">
        <w:rPr>
          <w:rFonts w:ascii="Abadi" w:hAnsi="Abadi"/>
        </w:rPr>
        <w:t xml:space="preserve"> </w:t>
      </w:r>
      <w:r w:rsidR="008B60DA" w:rsidRPr="008B60DA">
        <w:rPr>
          <w:rFonts w:ascii="Abadi" w:hAnsi="Abadi"/>
          <w:lang w:val="sk-SK"/>
        </w:rPr>
        <w:t>„O</w:t>
      </w:r>
      <w:r w:rsidR="00C25991">
        <w:rPr>
          <w:rFonts w:ascii="Abadi" w:hAnsi="Abadi"/>
          <w:lang w:val="sk-SK"/>
        </w:rPr>
        <w:t>bytná zóna a technická infraštruktúra, výstavba športovej infraštruktúry“, miesto dodania</w:t>
      </w:r>
      <w:r w:rsidR="00DC78ED" w:rsidRPr="008B60DA">
        <w:rPr>
          <w:rFonts w:ascii="Abadi" w:hAnsi="Abadi"/>
          <w:lang w:val="sk-SK"/>
        </w:rPr>
        <w:t xml:space="preserve">: </w:t>
      </w:r>
      <w:r w:rsidR="008B60DA" w:rsidRPr="008B60DA">
        <w:rPr>
          <w:rFonts w:ascii="Abadi" w:hAnsi="Abadi"/>
          <w:lang w:val="sk-SK"/>
        </w:rPr>
        <w:t>Levice</w:t>
      </w:r>
      <w:r w:rsidR="00C25991">
        <w:rPr>
          <w:rFonts w:ascii="Abadi" w:hAnsi="Abadi"/>
          <w:lang w:val="sk-SK"/>
        </w:rPr>
        <w:t>.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795AF054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E33B9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713F0FE8" w14:textId="77777777" w:rsidR="008B60DA" w:rsidRPr="00987B0C" w:rsidRDefault="008B60DA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39A4C021" w14:textId="77777777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6D1292B2" w:rsidR="00D5581B" w:rsidRPr="00987B0C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ukončenie diela: do</w:t>
      </w:r>
      <w:r w:rsidR="007B6F1B" w:rsidRPr="00987B0C">
        <w:rPr>
          <w:rFonts w:ascii="Abadi" w:hAnsi="Abadi"/>
          <w:lang w:val="sk-SK"/>
        </w:rPr>
        <w:t xml:space="preserve"> </w:t>
      </w:r>
      <w:r w:rsidR="00C25991">
        <w:rPr>
          <w:rFonts w:ascii="Abadi" w:hAnsi="Abadi"/>
          <w:lang w:val="sk-SK"/>
        </w:rPr>
        <w:t>8</w:t>
      </w:r>
      <w:r w:rsidRPr="00987B0C">
        <w:rPr>
          <w:rFonts w:ascii="Abadi" w:hAnsi="Abadi"/>
          <w:lang w:val="sk-SK"/>
        </w:rPr>
        <w:t xml:space="preserve"> mesiacov od prevzatia staveniska</w:t>
      </w:r>
    </w:p>
    <w:p w14:paraId="0847E3EB" w14:textId="77777777" w:rsidR="00D5581B" w:rsidRPr="00987B0C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353AE51" w:rsidR="00D5581B" w:rsidRPr="008B60DA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lang w:val="sk-SK"/>
        </w:rPr>
        <w:t xml:space="preserve">výsledkom procesu VO/OVS. </w:t>
      </w:r>
      <w:r w:rsidRPr="00987B0C">
        <w:rPr>
          <w:rFonts w:ascii="Abadi" w:hAnsi="Abadi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lang w:val="sk-SK"/>
        </w:rPr>
        <w:t>položkovitým</w:t>
      </w:r>
      <w:proofErr w:type="spellEnd"/>
      <w:r w:rsidRPr="00987B0C">
        <w:rPr>
          <w:rFonts w:ascii="Abadi" w:hAnsi="Abadi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lang w:val="sk-SK"/>
        </w:rPr>
        <w:t>vzišla z obchodnej verejnej súťaže a je</w:t>
      </w:r>
      <w:r w:rsidRPr="00987B0C">
        <w:rPr>
          <w:rFonts w:ascii="Abadi" w:hAnsi="Abadi"/>
          <w:lang w:val="sk-SK"/>
        </w:rPr>
        <w:t xml:space="preserve"> nasledovn</w:t>
      </w:r>
      <w:r w:rsidR="00A324C1" w:rsidRPr="00987B0C">
        <w:rPr>
          <w:rFonts w:ascii="Abadi" w:hAnsi="Abadi"/>
          <w:lang w:val="sk-SK"/>
        </w:rPr>
        <w:t>á</w:t>
      </w:r>
      <w:r w:rsidRPr="00987B0C">
        <w:rPr>
          <w:rFonts w:ascii="Abadi" w:hAnsi="Abadi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8B60DA">
      <w:pPr>
        <w:pStyle w:val="Odsekzoznamu"/>
        <w:ind w:left="426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45BAD4A9" w:rsidR="00D5581B" w:rsidRPr="00987B0C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8B60DA">
        <w:rPr>
          <w:rFonts w:ascii="Abadi" w:hAnsi="Abadi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8B60DA">
        <w:rPr>
          <w:rFonts w:ascii="Abadi" w:hAnsi="Abadi"/>
          <w:lang w:val="sk-SK"/>
        </w:rPr>
        <w:t>t</w:t>
      </w:r>
      <w:r w:rsidR="008B60DA">
        <w:rPr>
          <w:rFonts w:ascii="Abadi" w:hAnsi="Abadi"/>
          <w:lang w:val="sk-SK"/>
        </w:rPr>
        <w:t xml:space="preserve">. </w:t>
      </w:r>
      <w:r w:rsidR="001D0A89" w:rsidRPr="008B60DA">
        <w:rPr>
          <w:rFonts w:ascii="Abadi" w:hAnsi="Abadi"/>
          <w:lang w:val="sk-SK"/>
        </w:rPr>
        <w:t xml:space="preserve">j. </w:t>
      </w:r>
      <w:r w:rsidRPr="008B60DA">
        <w:rPr>
          <w:rFonts w:ascii="Abadi" w:hAnsi="Abadi"/>
          <w:lang w:val="sk-SK"/>
        </w:rPr>
        <w:t>je možná aj čiastková faktu</w:t>
      </w:r>
      <w:r w:rsidR="00900DE0" w:rsidRPr="008B60DA">
        <w:rPr>
          <w:rFonts w:ascii="Abadi" w:hAnsi="Abadi"/>
          <w:lang w:val="sk-SK"/>
        </w:rPr>
        <w:t>r</w:t>
      </w:r>
      <w:r w:rsidRPr="008B60DA">
        <w:rPr>
          <w:rFonts w:ascii="Abadi" w:hAnsi="Abadi"/>
          <w:lang w:val="sk-SK"/>
        </w:rPr>
        <w:t>ácia,</w:t>
      </w:r>
    </w:p>
    <w:p w14:paraId="3D681A4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8B60DA">
        <w:rPr>
          <w:rFonts w:ascii="Abadi" w:hAnsi="Abadi"/>
          <w:lang w:val="sk-SK"/>
        </w:rPr>
        <w:t>Splatnosť faktúr je maximálne 30 dní.</w:t>
      </w:r>
    </w:p>
    <w:p w14:paraId="32BC7E12" w14:textId="3FFC872E" w:rsidR="00D5581B" w:rsidRPr="00987B0C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 prípade dohody zmluvných strán môže byť dodávateľovi poskytnutý aj preddavok v súlade s § 19 ods. 8-10 zákona č. 523/2004 Z.</w:t>
      </w:r>
      <w:r w:rsidR="008B60DA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z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objednávateľ odmietne dielo bezdôvodne prevziať alebo podpísať protokol, alebo sa k odovzdaniu a prevzatiu diela bez vopred zaslaného </w:t>
      </w:r>
      <w:r w:rsidRPr="00987B0C">
        <w:rPr>
          <w:rFonts w:ascii="Abadi" w:hAnsi="Abadi"/>
          <w:lang w:val="sk-SK"/>
        </w:rPr>
        <w:lastRenderedPageBreak/>
        <w:t>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A583B1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Zmluvné strany sa dohodli na záručnej dobe </w:t>
      </w:r>
      <w:r w:rsidR="00DC5261" w:rsidRPr="00987B0C">
        <w:rPr>
          <w:rFonts w:ascii="Abadi" w:hAnsi="Abadi"/>
          <w:lang w:val="sk-SK"/>
        </w:rPr>
        <w:t>60</w:t>
      </w:r>
      <w:r w:rsidRPr="00987B0C">
        <w:rPr>
          <w:rFonts w:ascii="Abadi" w:hAnsi="Abadi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2ED7FC1E" w14:textId="5446ACE5" w:rsidR="00D5581B" w:rsidRPr="008B60DA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A24DB86" w14:textId="4220192F" w:rsidR="00D5581B" w:rsidRPr="00056C59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porušuje svoje povinnosti vyplývajúce z tejto zmluvy opakovane alebo úmyselne.</w:t>
      </w:r>
    </w:p>
    <w:p w14:paraId="559542CC" w14:textId="3CC99AA5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neodovzdal miesto výkonu prác v stave spôsobilom na realizáciu diela,</w:t>
      </w:r>
    </w:p>
    <w:p w14:paraId="0FD1F549" w14:textId="31D5F2B0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si nesplnil svoju povinnosť vyplývajúcu mu z článku IV. bod 3, 4 a 5 tejto zmluvy, </w:t>
      </w:r>
    </w:p>
    <w:p w14:paraId="2F9B6674" w14:textId="008FF971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2E6104B9" w:rsidR="00D5581B" w:rsidRPr="00987B0C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>Právo na náhradu škody tým nie je dotknuté.</w:t>
      </w:r>
    </w:p>
    <w:p w14:paraId="264C9EDA" w14:textId="70A08608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dôjde k ukončeniu zmluvného vzťahu z dôvodov na strane objednávateľa, má zhotoviteľ právo na zaplatenia preukázaných účelne a nevyhnutne </w:t>
      </w:r>
      <w:r w:rsidRPr="00987B0C">
        <w:rPr>
          <w:rFonts w:ascii="Abadi" w:hAnsi="Abadi"/>
          <w:lang w:val="sk-SK"/>
        </w:rPr>
        <w:lastRenderedPageBreak/>
        <w:t>vynaložených nákladov spojených s vykonanými prácami na zhotovovaní diela do času ukončenia zmluvného vzťahu.</w:t>
      </w:r>
    </w:p>
    <w:p w14:paraId="6476C951" w14:textId="24AB57D0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08C955D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87B0C">
        <w:rPr>
          <w:rFonts w:ascii="Abadi" w:hAnsi="Abadi"/>
          <w:lang w:val="sk-SK"/>
        </w:rPr>
        <w:t>2</w:t>
      </w:r>
      <w:r w:rsidRPr="00987B0C">
        <w:rPr>
          <w:rFonts w:ascii="Abadi" w:hAnsi="Abadi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BC2F5F6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nadobudne platnosť </w:t>
      </w:r>
      <w:r w:rsidR="00342504" w:rsidRPr="00987B0C">
        <w:rPr>
          <w:rFonts w:ascii="Abadi" w:hAnsi="Abadi"/>
          <w:lang w:val="sk-SK"/>
        </w:rPr>
        <w:t xml:space="preserve">a účinnosť </w:t>
      </w:r>
      <w:r w:rsidRPr="00987B0C">
        <w:rPr>
          <w:rFonts w:ascii="Abadi" w:hAnsi="Abadi"/>
          <w:lang w:val="sk-SK"/>
        </w:rPr>
        <w:t xml:space="preserve">dňom </w:t>
      </w:r>
      <w:r w:rsidR="00D165FE" w:rsidRPr="00987B0C">
        <w:rPr>
          <w:rFonts w:ascii="Abadi" w:hAnsi="Abadi"/>
          <w:lang w:val="sk-SK"/>
        </w:rPr>
        <w:t>podpisu poslednej zmluvnej strany.</w:t>
      </w:r>
    </w:p>
    <w:p w14:paraId="0538B0A5" w14:textId="098F1EBF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350C19EC" w14:textId="7DA9B21F" w:rsidR="00104C16" w:rsidRPr="00056C59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056C59">
        <w:rPr>
          <w:rFonts w:ascii="Abadi" w:hAnsi="Abadi"/>
          <w:lang w:val="sk-SK"/>
        </w:rPr>
        <w:t> Leviciach,</w:t>
      </w:r>
      <w:r w:rsidRPr="00987B0C">
        <w:rPr>
          <w:rFonts w:ascii="Abadi" w:hAnsi="Abadi"/>
          <w:lang w:val="sk-SK"/>
        </w:rPr>
        <w:t xml:space="preserve"> dňa</w:t>
      </w:r>
      <w:r w:rsidR="00056C59">
        <w:rPr>
          <w:rFonts w:ascii="Abadi" w:hAnsi="Abadi"/>
          <w:lang w:val="sk-SK"/>
        </w:rPr>
        <w:t xml:space="preserve"> ......................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056C59">
        <w:rPr>
          <w:rFonts w:ascii="Abadi" w:hAnsi="Abadi"/>
          <w:lang w:val="sk-SK"/>
        </w:rPr>
        <w:t>V..................................., dňa ..........................</w:t>
      </w:r>
      <w:r w:rsidR="002B25C2" w:rsidRPr="00987B0C">
        <w:rPr>
          <w:rFonts w:ascii="Abadi" w:hAnsi="Abadi"/>
          <w:lang w:val="sk-SK"/>
        </w:rPr>
        <w:tab/>
      </w:r>
    </w:p>
    <w:p w14:paraId="084C3C24" w14:textId="0984DF8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01753C4E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</w:t>
      </w:r>
      <w:r w:rsidR="00056C59">
        <w:rPr>
          <w:rFonts w:ascii="Abadi" w:hAnsi="Abadi"/>
          <w:lang w:val="sk-SK"/>
        </w:rPr>
        <w:t>......................</w:t>
      </w:r>
      <w:r w:rsidR="00601820" w:rsidRPr="00987B0C">
        <w:rPr>
          <w:rFonts w:ascii="Abadi" w:hAnsi="Abadi"/>
          <w:lang w:val="sk-SK"/>
        </w:rPr>
        <w:t>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</w:t>
      </w:r>
      <w:r w:rsidR="00056C59">
        <w:rPr>
          <w:rFonts w:ascii="Abadi" w:hAnsi="Abadi"/>
          <w:lang w:val="sk-SK"/>
        </w:rPr>
        <w:t>........</w:t>
      </w:r>
      <w:r w:rsidRPr="00987B0C">
        <w:rPr>
          <w:rFonts w:ascii="Abadi" w:hAnsi="Abadi"/>
          <w:lang w:val="sk-SK"/>
        </w:rPr>
        <w:t>......................................</w:t>
      </w:r>
    </w:p>
    <w:p w14:paraId="1005CED4" w14:textId="727F437E" w:rsidR="00056C59" w:rsidRDefault="00C25991" w:rsidP="00342504">
      <w:pPr>
        <w:pStyle w:val="Zkladntext"/>
        <w:rPr>
          <w:rFonts w:ascii="Abadi" w:hAnsi="Abadi"/>
          <w:b/>
          <w:bCs/>
          <w:lang w:val="sk-SK"/>
        </w:rPr>
      </w:pPr>
      <w:r>
        <w:rPr>
          <w:rFonts w:ascii="Abadi" w:hAnsi="Abadi"/>
          <w:b/>
          <w:bCs/>
          <w:lang w:val="sk-SK"/>
        </w:rPr>
        <w:t xml:space="preserve">Bc. </w:t>
      </w:r>
      <w:proofErr w:type="spellStart"/>
      <w:r>
        <w:rPr>
          <w:rFonts w:ascii="Abadi" w:hAnsi="Abadi"/>
          <w:b/>
          <w:bCs/>
          <w:lang w:val="sk-SK"/>
        </w:rPr>
        <w:t>Allan</w:t>
      </w:r>
      <w:proofErr w:type="spellEnd"/>
      <w:r>
        <w:rPr>
          <w:rFonts w:ascii="Abadi" w:hAnsi="Abadi"/>
          <w:b/>
          <w:bCs/>
          <w:lang w:val="sk-SK"/>
        </w:rPr>
        <w:t xml:space="preserve"> </w:t>
      </w:r>
      <w:proofErr w:type="spellStart"/>
      <w:r>
        <w:rPr>
          <w:rFonts w:ascii="Abadi" w:hAnsi="Abadi"/>
          <w:b/>
          <w:bCs/>
          <w:lang w:val="sk-SK"/>
        </w:rPr>
        <w:t>Sághy</w:t>
      </w:r>
      <w:proofErr w:type="spellEnd"/>
    </w:p>
    <w:p w14:paraId="7F26E4E3" w14:textId="77777777" w:rsidR="00056C59" w:rsidRPr="00056C59" w:rsidRDefault="00056C59" w:rsidP="00342504">
      <w:pPr>
        <w:pStyle w:val="Zkladntext"/>
        <w:rPr>
          <w:rFonts w:ascii="Abadi" w:hAnsi="Abadi"/>
          <w:lang w:val="sk-SK"/>
        </w:rPr>
      </w:pPr>
      <w:r w:rsidRPr="00056C59">
        <w:rPr>
          <w:rFonts w:ascii="Abadi" w:hAnsi="Abadi"/>
          <w:lang w:val="sk-SK"/>
        </w:rPr>
        <w:t xml:space="preserve">konateľ spoločnosti </w:t>
      </w:r>
    </w:p>
    <w:p w14:paraId="386CAFE7" w14:textId="69611FFC" w:rsidR="00342504" w:rsidRPr="00056C59" w:rsidRDefault="00C25991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Alma, s.r.o</w:t>
      </w:r>
      <w:r w:rsidR="00E85363" w:rsidRPr="00056C59">
        <w:rPr>
          <w:rFonts w:ascii="Abadi" w:hAnsi="Abadi"/>
          <w:lang w:val="sk-SK"/>
        </w:rPr>
        <w:tab/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FE61" w14:textId="77777777" w:rsidR="006B085C" w:rsidRDefault="006B085C" w:rsidP="00062F04">
      <w:r>
        <w:separator/>
      </w:r>
    </w:p>
  </w:endnote>
  <w:endnote w:type="continuationSeparator" w:id="0">
    <w:p w14:paraId="4C87FCDD" w14:textId="77777777" w:rsidR="006B085C" w:rsidRDefault="006B085C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EDE8" w14:textId="77777777" w:rsidR="006B085C" w:rsidRDefault="006B085C" w:rsidP="00062F04">
      <w:r>
        <w:separator/>
      </w:r>
    </w:p>
  </w:footnote>
  <w:footnote w:type="continuationSeparator" w:id="0">
    <w:p w14:paraId="5C2EE48A" w14:textId="77777777" w:rsidR="006B085C" w:rsidRDefault="006B085C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9"/>
  </w:num>
  <w:num w:numId="2" w16cid:durableId="1253079620">
    <w:abstractNumId w:val="25"/>
  </w:num>
  <w:num w:numId="3" w16cid:durableId="170071250">
    <w:abstractNumId w:val="39"/>
  </w:num>
  <w:num w:numId="4" w16cid:durableId="594019134">
    <w:abstractNumId w:val="12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33"/>
  </w:num>
  <w:num w:numId="8" w16cid:durableId="1226261728">
    <w:abstractNumId w:val="28"/>
  </w:num>
  <w:num w:numId="9" w16cid:durableId="1515804384">
    <w:abstractNumId w:val="8"/>
  </w:num>
  <w:num w:numId="10" w16cid:durableId="190806634">
    <w:abstractNumId w:val="34"/>
  </w:num>
  <w:num w:numId="11" w16cid:durableId="1249191786">
    <w:abstractNumId w:val="21"/>
  </w:num>
  <w:num w:numId="12" w16cid:durableId="472453885">
    <w:abstractNumId w:val="4"/>
  </w:num>
  <w:num w:numId="13" w16cid:durableId="1483546837">
    <w:abstractNumId w:val="16"/>
  </w:num>
  <w:num w:numId="14" w16cid:durableId="143011853">
    <w:abstractNumId w:val="32"/>
  </w:num>
  <w:num w:numId="15" w16cid:durableId="1091005532">
    <w:abstractNumId w:val="19"/>
  </w:num>
  <w:num w:numId="16" w16cid:durableId="1625117201">
    <w:abstractNumId w:val="30"/>
  </w:num>
  <w:num w:numId="17" w16cid:durableId="1943344548">
    <w:abstractNumId w:val="41"/>
  </w:num>
  <w:num w:numId="18" w16cid:durableId="783814598">
    <w:abstractNumId w:val="18"/>
  </w:num>
  <w:num w:numId="19" w16cid:durableId="1601833065">
    <w:abstractNumId w:val="31"/>
  </w:num>
  <w:num w:numId="20" w16cid:durableId="938831669">
    <w:abstractNumId w:val="27"/>
  </w:num>
  <w:num w:numId="21" w16cid:durableId="1059399440">
    <w:abstractNumId w:val="2"/>
  </w:num>
  <w:num w:numId="22" w16cid:durableId="1632247949">
    <w:abstractNumId w:val="40"/>
  </w:num>
  <w:num w:numId="23" w16cid:durableId="1238324117">
    <w:abstractNumId w:val="43"/>
  </w:num>
  <w:num w:numId="24" w16cid:durableId="1022324171">
    <w:abstractNumId w:val="10"/>
  </w:num>
  <w:num w:numId="25" w16cid:durableId="1212154504">
    <w:abstractNumId w:val="23"/>
  </w:num>
  <w:num w:numId="26" w16cid:durableId="1774663372">
    <w:abstractNumId w:val="42"/>
  </w:num>
  <w:num w:numId="27" w16cid:durableId="1717314695">
    <w:abstractNumId w:val="37"/>
  </w:num>
  <w:num w:numId="28" w16cid:durableId="718211607">
    <w:abstractNumId w:val="35"/>
  </w:num>
  <w:num w:numId="29" w16cid:durableId="445273653">
    <w:abstractNumId w:val="20"/>
  </w:num>
  <w:num w:numId="30" w16cid:durableId="658847737">
    <w:abstractNumId w:val="36"/>
  </w:num>
  <w:num w:numId="31" w16cid:durableId="1888879046">
    <w:abstractNumId w:val="11"/>
  </w:num>
  <w:num w:numId="32" w16cid:durableId="1863203387">
    <w:abstractNumId w:val="14"/>
  </w:num>
  <w:num w:numId="33" w16cid:durableId="1576356554">
    <w:abstractNumId w:val="29"/>
  </w:num>
  <w:num w:numId="34" w16cid:durableId="1626737313">
    <w:abstractNumId w:val="0"/>
  </w:num>
  <w:num w:numId="35" w16cid:durableId="1897889164">
    <w:abstractNumId w:val="44"/>
  </w:num>
  <w:num w:numId="36" w16cid:durableId="581526272">
    <w:abstractNumId w:val="24"/>
  </w:num>
  <w:num w:numId="37" w16cid:durableId="1130592307">
    <w:abstractNumId w:val="17"/>
  </w:num>
  <w:num w:numId="38" w16cid:durableId="843662974">
    <w:abstractNumId w:val="26"/>
  </w:num>
  <w:num w:numId="39" w16cid:durableId="425930475">
    <w:abstractNumId w:val="7"/>
  </w:num>
  <w:num w:numId="40" w16cid:durableId="984966825">
    <w:abstractNumId w:val="15"/>
  </w:num>
  <w:num w:numId="41" w16cid:durableId="1835606499">
    <w:abstractNumId w:val="22"/>
  </w:num>
  <w:num w:numId="42" w16cid:durableId="2054189587">
    <w:abstractNumId w:val="6"/>
  </w:num>
  <w:num w:numId="43" w16cid:durableId="1633562282">
    <w:abstractNumId w:val="13"/>
  </w:num>
  <w:num w:numId="44" w16cid:durableId="604074515">
    <w:abstractNumId w:val="5"/>
  </w:num>
  <w:num w:numId="45" w16cid:durableId="9042231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E1708"/>
    <w:rsid w:val="004E2FEA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9D3"/>
    <w:rsid w:val="00913943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1866</Words>
  <Characters>10879</Characters>
  <Application>Microsoft Office Word</Application>
  <DocSecurity>0</DocSecurity>
  <Lines>265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Katarina Jombikova</cp:lastModifiedBy>
  <cp:revision>2</cp:revision>
  <cp:lastPrinted>2017-06-06T08:31:00Z</cp:lastPrinted>
  <dcterms:created xsi:type="dcterms:W3CDTF">2026-01-28T15:36:00Z</dcterms:created>
  <dcterms:modified xsi:type="dcterms:W3CDTF">2026-01-28T15:36:00Z</dcterms:modified>
</cp:coreProperties>
</file>